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«УТВЕРЖДЕН»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(предварительно)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Советом директоров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Открытого акционерного общества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«Махачкалинский стекольный завод»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протокол № 1/2013 от 06 мая 2013г.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«УТВЕРЖДЕН»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Годовым общим собранием акционеров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открытого акционерного общества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«Махачкалинский стекольный завод»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протокол № 01 от 21 июня 2013г.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center"/>
        <w:rPr>
          <w:color w:val="333333"/>
        </w:rPr>
      </w:pPr>
      <w:r>
        <w:rPr>
          <w:rFonts w:ascii="Arial Narrow" w:hAnsi="Arial Narrow"/>
          <w:b/>
          <w:bCs/>
          <w:color w:val="333333"/>
          <w:sz w:val="36"/>
          <w:szCs w:val="36"/>
        </w:rPr>
        <w:t>ГОДОВОЙ ОТЧЕТ ЭМИТЕНТА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center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открытого акционерного общества «Махачкалинский стекольный завод»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за 2012г.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Генеральный директор _____________________ /Г.М..Гусейнов /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right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Главный бухгалтер _____________________ /Т.Н.Успенская/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jc w:val="center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М.П.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1. Общие сведения об Обществе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1.1. Полное фирменное наименование Общества – открытое акционерное общество «Махачкалинский Стекольный завод».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Сокращенное наименование Общества — ОАО «Махачкалинский стекольный завод»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1.2. Место нахождения Общества — 367002 Российская Федерация, Республика Дагестан, г.Махачкала, ул.М.Азизова,28.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1.3. Дата государственной регистрации Общества – 09 октября 2001 года. Государственный регистрационный номер Общества ГРН — 3334-р-2001.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Орган, осуществивший, государственную регистрацию Общества – Управление регистрации и лицензирования г. Махачкалы.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1.4. Основной государственный регистрационный номер Общества (ОГРН), за которым в Единый государственный реестр юридических лиц внесена запись о создании эмитента — 1020502527803. Дата внесения записи – 22 ноября 2002 года. Орган, осуществивший присвоение ОГРН — инспекция МНС России по Ленинскому району г. Махачкала Республики Дагестан.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1.5. Идентификационный номер налогоплательщика (ИНН) — 0541028814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1.6. Общество осуществляет, следующие основные виды деятельности: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оптовая торговля изделиями из керамики и стекла.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Прочая оптовая торговля.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lastRenderedPageBreak/>
        <w:t>Приобретение и реализация материалов (сырья ) для производства изделий из стекла Доломит,кальцинированная сода, борная кислота, мел, мышьяк, песок кварцевый, селен, коалин и др.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Производство полых стеклянных изделий.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Производство электрических изоляторов из стекла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Производство стеклопакетов.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Производство стекловолокна.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Производство ткани из стекловолокна.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Производство тепло и звукоизоляционных изделий.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Производство и обработка прочих стеклянных изделий.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Производство необработанного стекла в блоках, в виде шаров, стержне, труб и трубок.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Сборка электрических изоляторов из стекла.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Оптовая и розничная торговля полыми стеклянными изделиями ( стеклошарики ), электрическими изоляторами из стекла, стеклотканью, тканью из стекловолокна и прочими изделиями 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Торгово-коммерческая деятельность.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Оптовая и розничная торговля.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Аренда недвижимого имущества, оборудования, транспортных средств.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Поставка изделий из стекла и сырья для его изготовления.</w:t>
      </w:r>
    </w:p>
    <w:p w:rsidR="00766333" w:rsidRDefault="00766333" w:rsidP="00766333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color w:val="333333"/>
        </w:rPr>
        <w:t>Кроме перечисленных, общество имеет право на осуществление любых видов деятельности не запрещенных законодательством.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1.7. Аудиторская компания Общества – ООО «Цестрис – Аудит».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1.8. Сведения о регистраторе, осуществляющем ведение реестра владельцев именных ценных бумаг: Дагестанский филиал ОАО «Реестр»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1.9. Размер уставного капитала эмитента — 9587522 рублей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Акции общества : акции (ЦБ 1) обыкновенные именные бездокументарные в количестве 1 220 062 штуки номинальной стоимостью 6 рублей каждая и акции (ЦБ2) привилегированные именные бездокументарные типа А в количестве 453 430 штук номинальной стоимостью 5 рублей каждая.. ГРН — 1-01-33326-Е, 2-01-33326-Е.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Орган, осуществивший государственную регистрацию выпуска ценных бумаг — РО ФКЦБ России в Южном федеральном округе.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Общий объем размещенного выпуска (по номинальной стоимости) — 9587522 рублей. Вид, категория (тип) ценных бумаг — акции именные обыкновенные. Форма ценных бумаг — бездокументарные и акции привилегированные именные бездокументарные типа А.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1.10. Акционеры, владеющие не менее чем 5 процентами уставного капитала эмитента.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1.10.1. Гусейнов Максуд Магомедович — 19,7716.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1.10.2. Гусейнов Ахмед Гаджиевич – 6,8999.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1.10.3. Гусейнов Гусейн Магомедович – 19,3659.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lastRenderedPageBreak/>
        <w:t>1.11. Юридические лица, в которых общество владеет более 5 процентами акций (долей, паев) — не владеет.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1.12. Участие Общества в промышленных банковских, финансовых, группах, холдингах. концернах и ассоциациях — не участвует.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1.13. Филиалы и представительства Общества — не имеет.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1.14. Среднесписочная численность работников Общества</w:t>
      </w:r>
      <w:r>
        <w:rPr>
          <w:rFonts w:ascii="Arial Narrow" w:hAnsi="Arial Narrow"/>
          <w:b/>
          <w:bCs/>
          <w:color w:val="333333"/>
        </w:rPr>
        <w:t> —</w:t>
      </w:r>
      <w:r>
        <w:rPr>
          <w:rFonts w:ascii="Arial Narrow" w:hAnsi="Arial Narrow"/>
          <w:color w:val="333333"/>
        </w:rPr>
        <w:t> 32 человека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2. Положение Общества в отрасли: </w:t>
      </w:r>
      <w:r>
        <w:rPr>
          <w:rFonts w:ascii="Arial Narrow" w:hAnsi="Arial Narrow"/>
          <w:color w:val="333333"/>
        </w:rPr>
        <w:t>производство полых стеклянных изделий и электрических изоляторов из стекла, сдача внаем (аренда) собственного недвижимого имущества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3. Приоритетные направления деятельности Общества.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Основными направлениями деятельности Общества является: производство полых стеклянных изделий и производство электрических изоляторов из стекла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4.</w:t>
      </w:r>
      <w:r>
        <w:rPr>
          <w:color w:val="333333"/>
        </w:rPr>
        <w:t> </w:t>
      </w:r>
      <w:r>
        <w:rPr>
          <w:rFonts w:ascii="Arial Narrow" w:hAnsi="Arial Narrow"/>
          <w:b/>
          <w:bCs/>
          <w:color w:val="333333"/>
        </w:rPr>
        <w:t>Отчет совета директоров Общества о результатах развития Общества по приоритетным направлениям деятельности: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Доходы (выручка от продажи товаров… Ф № 2 отчета о прибылях и убытках) – 13 579 тыс.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Расходы (себестоимость проданных товаров,продукции, работ,услу Ф № 2 отчета о прибылях и убытках) -13 399 тыс.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Чистая прибыль — 144 тыс.руб.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балансовая стоимость основных средств – 8 806 тыс.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Фонд оплаты труда — тыс.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Дебиторская задолженность: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на начало года – 3 896 тыс.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на конец года – 3 235 тыс.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кредиторская задолженность: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на начало года 2 126 тыс.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на конец года – 2 385 тыс. руб.</w:t>
      </w:r>
    </w:p>
    <w:p w:rsidR="00766333" w:rsidRDefault="00766333" w:rsidP="00766333">
      <w:pPr>
        <w:pStyle w:val="western"/>
        <w:numPr>
          <w:ilvl w:val="0"/>
          <w:numId w:val="4"/>
        </w:numPr>
        <w:shd w:val="clear" w:color="auto" w:fill="FFFFFF"/>
        <w:spacing w:before="150" w:beforeAutospacing="0" w:after="150" w:afterAutospacing="0"/>
        <w:ind w:left="87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Перспективы развития общества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Производство полых стеклянных изделий и электрических изоляторов из стекла, сдача внаем (аренда) собственного недвижимого имущества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6. Отчет о выплате объявленных (начисленных) дивидендов по акциям Общества</w:t>
      </w:r>
      <w:r>
        <w:rPr>
          <w:rFonts w:ascii="Arial Narrow" w:hAnsi="Arial Narrow"/>
          <w:color w:val="333333"/>
        </w:rPr>
        <w:t>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В 2012 году дивиденды по акциям Общества не начислялись и не выплачивались.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7. Описание основных факторов риска, связанных с деятельностью Общества.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7.1. Макроэкономические риски.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Риски связанные: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— с несовершенством системы налогообложения и государственных гарантий.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— со снижением деловой активности в национальной экономике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— с нестабильностью ситуации на финансовых и товарных рынках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— с инфляцией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lastRenderedPageBreak/>
        <w:t>7.2. Конкурентные риски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Риски, связанные с тем, что конкуренты или новые игроки на рынке займут более конкурентоспособное положение, а их действия могут угрожать жизнедеятельности Общества.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7.3. Отраслевые риски.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В настоящее время отсутствуют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7.4. Финансовые риски: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В настоящее время отсутствуют.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7.5. Правовые риски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В настоящее время отсутствуют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7.6. Социальные риски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Риски связанные: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— с увольнением высококвалифицированных работников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— с отсутствием квалифицированной рабочей силы на рынке труда.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7.7. Кроме рисков непосредственно связанных с хозяйственной деятельностью Общества возможно негативное влияние форс-мажорных обстоятельств общеэкономического характера.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8. Сведения о совершенных Обществом в 2012г. сделок, признаваемых в соответствии с Федеральным законом «Об акционерных обществах» крупными сделками, а также иных сделок на совершение которых в соответствии с Уставом Общества распространяется порядок одобрения крупных сделок.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Такие сделки не совершались.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9. Сведения о совершенных Обществом в 2012 году сделок, признаваемых в соответствии с Федеральным законом «Об акционерных Обществах» сделками, в совершении которых имеется заинтересованность»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Такие сделки не совершались.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10. Совет директоров Общества по состоянию на 01.01.2013г.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10. 1. Гусейнов Гусейн Магомедович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Год рождения – 1982.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Место рождения — г. Махачкала Республики Дагестан.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Должности за последние 5 лет :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Период 2002 – наст.время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Организация: Открытое акционерное общество «Махачкалинский стекольный завод»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Сфера деятельности: Промышленность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Должность: генеральный директор общества.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Доля в уставном капитале эмитента : 19,3659%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Доли в дочерних/зависимых обществах эмитента : долей не имеет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Образование — высшее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lastRenderedPageBreak/>
        <w:t>Сведения о совершенных сделках по приобретению или отчуждению акций Общества — в 2012 году не совершались.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10.2. Нурмагомедов Магомед Нурмагомедович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Год рождения – 1983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Должности за последние 5 лет : в настоящее время не работает.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Доля в уставном капитале эмитента : 0,0000%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Доли в дочерних/зависимых обществах эмитента : долей не имеет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Место рождения — с.Цатаних Ритлябского района ЧИАССР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Образование –высшее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Сведения о совершенных сделках по приобретению или отчуждению акций Общества — не совершались.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10.3. Османов Магомед Магомедович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Год рождения – 1970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Место рождения — с. Хунзах Хунзахского района РД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Образование –высшее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Должности за последние 5 лет — в настоящее время не работает.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Доля в уставном капитале эмитента : 00,0000%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Доли в дочерних/зависимых обществах эмитента : долей не имеет.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Сведения о совершенных сделках по приобретению или отчуждению акций Общества: в 2011г. отчуждено 243851 акций общества.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10.4. Гусейнов Максуд Магомедович.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Год рождения – 17.08.1980 г.р.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Место рождения: г. Буйнакск Республики Дагестан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Образование: высшее.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Должности за последние 5 лет: РНИМУ им.Пирагова, ст. научный сотрудник научно-исследовательской лаборатории инновационных технологий урологии.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Доля в уставном капитале общества: 19,7716.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Доли в дочерних/зависимых обществах эмитента: долей не имеет.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Сведения о совершенных сделках по приобретению или отчуждению акций Общества: в 2012г. не совершались.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10.5. Гусейнов Магомед Булатович.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Год рождения – 1966.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Место рождения — с. Гонок Хунзахского района РД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Образование –высшее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Должности за последние 5 лет: гл. инженер.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Доля в уставном капитале эмитента : 00,0000%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lastRenderedPageBreak/>
        <w:t>Доли в дочерних/зависимых обществах эмитента : долей не имеет.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Сведения о совершенных сделках по приобретению или отчуждению акций Общества: в 2012г. сделки не совершались.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10.6. Муратчаев Муса Саидович.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Год рождения – 1966.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Место рождения — г. Джамбул Казахской ССР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Образование –высшее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Должности за последние 5 лет: юрисконсульт..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Доля в уставном капитале эмитента : 00,0000%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Доли в дочерних/зависимых обществах эмитента : долей не имеет.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Сведения о совершенных сделках по приобретению или отчуждению акций Общества: сделки не совершались.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10.7.Гитинасулмагомедов Мурад Магомедович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Год рождения – 1978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Место рождения — г. Махачкала РД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Образование – высшее.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Должности за последние 5 лет : до 01.01.2013г. – начальник отдела снабжения ОАО «Махачкалинский стекольный завод», в настоящее время – зам. генерального директора ООО «Гласспром».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Доля в уставном капитале эмитента : 0,0000%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Доли в дочерних/зависимых обществах эмитента : долей не имеет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Сведения о совершенных сделках по приобретению или отчуждению акций Общества — не совершались.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11. Лицо, занимающее должность единоличного исполнительного органа Общества, по состоянию на 01.01.2013г.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11. 1. Гусейнов Гусейн Магомедович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Год рождения – 1982.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Место рождения — г. Махачкала Республики Дагестан.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Должности за последние 5 лет :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Период 2002 – наст.время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Организация: Открытое акционерное общество «Махачкалинский стекольный завод»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Сфера деятельности: Промышленность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Должность: генеральный директор общества.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Доля в уставном капитале эмитента : 19,3659%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Доли в дочерних/зависимых обществах эмитента : долей не имеет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Образование — высшее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lastRenderedPageBreak/>
        <w:t>Сведения о совершенных сделках по приобретению или отчуждению акций Общества — в 2012 году не совершались.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12. Критерии определения и размер вознаграждения (компенсации расходов) лица, занимающего должность единовременного исполнительного органа Общества, каждого члена Совета Директоров Общества, выплаченного или выплачиваемого по результатам отчетного года.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12.1. Вознаграждения и компенсация расходов за 2012 год — не предусмотрены.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12.2. Заработная плата за 2012 год – 0,00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в том числе: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12.2.1 Гусейнов Гусейн Магомедович – 0,00 руб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12.2.2.Расулов Госен Расулович – 0,00 руб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12.2.3.Нурмагомедов Магомед Нурмагомедович – 0,00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12.2.4.Османов Магомед Магомедович – 0,00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12.2.5. Гусейнов Магомед Булатович – 0,00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12.2.6. Гусейнов Максуд Магомедович – 0,00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12.2.7. Муратчаев Муса Саидович — 0,00 руб.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13. Сведения о соблюдении Обществом Кодекса корпоративного поведения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Акционеры общества обеспечены надежными и эффективными способами учета права собственности на ценные бумаги (акции). Акционеры имеют право участвовать в управлении Обществом путем принятия решения по наиболее важным вопросам деятельности Общества на общем собрании акционеров. Акционеры имеют право на регулярное и своевременное получение полной и достоверной информации об Обществе. Акционеры не злоупотребляют предоставленными им правами. Практика корпоративного поведения Общества обеспечивает равное отношение к акционерам, владеющим разным числом акций. Все акционеры имеют возможность получать эффективную защиту в случае нарушения их прав. Генеральный директор общества действует в соответствии с финансово-хозяйственным планом Общества. Акционеры имеют равные возможности для доступа к одинаковой информации.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Информационная политика общества обеспечивает возможность свободного и необременительного доступа к информации Общества. Акционеры имеют возможность получать полную достоверную информацию, в том числе о финансовом положении Общества, результатах его деятельности, об управлении Обществом, о крупных акционерах, а также о существенных фактах, затрагивающих его финансово-хозяйственную деятельность. Практика корпоративного поведения общества учитывает предусмотренные законодательством права заинтересованных лиц, в том числе работников Общества, и поощряет активное сотрудничество Общества и заинтересованных лиц в целях увеличения активов Общества, стоимости акций и создания новых рабочих мест.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Для обеспечения эффективной деятельности общества генеральный директор учитывает интересы третьих лиц, в том числе кредиторов, государства, муниципальных образований, на территории которых находится Общество.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t>Практика корпоративного поведения общества обеспечивает эффективный контроль за финансово-хозяйственной деятельностью Общества с целью защиты прав и законных интересов акционеров.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color w:val="333333"/>
        </w:rPr>
        <w:lastRenderedPageBreak/>
        <w:t>Общество осуществляет раскрытие корпоративной информации всеми предусмотренными законодательством способами, в том числе по адресу в сети Интернет:</w:t>
      </w:r>
    </w:p>
    <w:p w:rsidR="00766333" w:rsidRDefault="00766333" w:rsidP="00766333">
      <w:pPr>
        <w:pStyle w:val="western"/>
        <w:shd w:val="clear" w:color="auto" w:fill="FFFFFF"/>
        <w:spacing w:before="150" w:beforeAutospacing="0" w:after="150" w:afterAutospacing="0"/>
        <w:ind w:left="150" w:right="150"/>
        <w:rPr>
          <w:color w:val="333333"/>
        </w:rPr>
      </w:pPr>
      <w:r>
        <w:rPr>
          <w:rFonts w:ascii="Arial Narrow" w:hAnsi="Arial Narrow"/>
          <w:b/>
          <w:bCs/>
          <w:color w:val="333333"/>
        </w:rPr>
        <w:t>Генеральный директор Г.М.Гусейнов.</w:t>
      </w:r>
    </w:p>
    <w:p w:rsidR="00861242" w:rsidRPr="00766333" w:rsidRDefault="00861242" w:rsidP="00766333">
      <w:bookmarkStart w:id="0" w:name="_GoBack"/>
      <w:bookmarkEnd w:id="0"/>
    </w:p>
    <w:sectPr w:rsidR="00861242" w:rsidRPr="0076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595"/>
    <w:multiLevelType w:val="multilevel"/>
    <w:tmpl w:val="68783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9579F"/>
    <w:multiLevelType w:val="multilevel"/>
    <w:tmpl w:val="64C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957E0"/>
    <w:multiLevelType w:val="multilevel"/>
    <w:tmpl w:val="C4A6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141D0"/>
    <w:multiLevelType w:val="multilevel"/>
    <w:tmpl w:val="228CB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74"/>
    <w:rsid w:val="00576B74"/>
    <w:rsid w:val="00766333"/>
    <w:rsid w:val="008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83244-C2B3-4653-9C16-3EE3CB2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B74"/>
    <w:rPr>
      <w:b/>
      <w:bCs/>
    </w:rPr>
  </w:style>
  <w:style w:type="paragraph" w:customStyle="1" w:styleId="western">
    <w:name w:val="western"/>
    <w:basedOn w:val="a"/>
    <w:rsid w:val="0076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2</cp:revision>
  <dcterms:created xsi:type="dcterms:W3CDTF">2023-02-13T10:48:00Z</dcterms:created>
  <dcterms:modified xsi:type="dcterms:W3CDTF">2023-02-13T10:48:00Z</dcterms:modified>
</cp:coreProperties>
</file>